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Bdr>
          <w:top w:val="nil"/>
          <w:left w:val="nil"/>
          <w:bottom w:val="nil"/>
          <w:right w:val="nil"/>
          <w:between w:val="nil"/>
        </w:pBdr>
      </w:pPr>
      <w:r>
        <w:t>Guide de navigation au clavier</w:t>
      </w:r>
    </w:p>
    <w:p>
      <w:r>
        <w:rPr>
          <w:b/>
          <w:sz w:val="28"/>
        </w:rPr>
        <w:t>Utiliser le site de formation d'Eric Schaefer sans souris</w:t>
      </w:r>
    </w:p>
    <w:p>
      <w:r>
        <w:t>Ce guide explique comment parcourir le site, ouvrir une page, utiliser un formulaire et accéder aux fonctions d'accessibilité uniquement avec le clavier. Les commandes indiquées correspondent principalement à Windows et aux navigateurs courants.</w:t>
      </w:r>
    </w:p>
    <w:p>
      <w:pPr>
        <w:pStyle w:val="Heading1"/>
      </w:pPr>
      <w:r>
        <w:t>Les touches essentielles</w:t>
      </w:r>
    </w:p>
    <w:tbl>
      <w:tblPr>
        <w:tblW w:type="auto" w:w="0"/>
        <w:jc w:val="center"/>
        <w:tblLayout w:type="fixed"/>
        <w:tblLook w:firstColumn="1" w:firstRow="1" w:lastColumn="0" w:lastRow="0" w:noHBand="0" w:noVBand="1" w:val="04A0"/>
      </w:tblPr>
      <w:tblGrid>
        <w:gridCol w:w="2376"/>
        <w:gridCol w:w="6840"/>
      </w:tblGrid>
      <w:tr>
        <w:trPr>
          <w:tblHeader w:val="true"/>
        </w:trPr>
        <w:tc>
          <w:tcPr>
            <w:tcW w:type="dxa" w:w="4968"/>
            <w:shd w:fill="102344"/>
            <w:tcMar>
              <w:top w:w="110" w:type="dxa"/>
              <w:start w:w="140" w:type="dxa"/>
              <w:bottom w:w="110" w:type="dxa"/>
              <w:end w:w="140" w:type="dxa"/>
            </w:tcMar>
            <w:vAlign w:val="center"/>
          </w:tcPr>
          <w:p>
            <w:r>
              <w:rPr>
                <w:b/>
                <w:color w:val="FFFFFF"/>
              </w:rPr>
              <w:t>Touche</w:t>
            </w:r>
          </w:p>
        </w:tc>
        <w:tc>
          <w:tcPr>
            <w:tcW w:type="dxa" w:w="4968"/>
            <w:shd w:fill="102344"/>
            <w:tcMar>
              <w:top w:w="110" w:type="dxa"/>
              <w:start w:w="140" w:type="dxa"/>
              <w:bottom w:w="110" w:type="dxa"/>
              <w:end w:w="140" w:type="dxa"/>
            </w:tcMar>
            <w:vAlign w:val="center"/>
          </w:tcPr>
          <w:p>
            <w:r>
              <w:rPr>
                <w:b/>
                <w:color w:val="FFFFFF"/>
              </w:rPr>
              <w:t>Action</w:t>
            </w:r>
          </w:p>
        </w:tc>
      </w:tr>
      <w:tr>
        <w:tc>
          <w:tcPr>
            <w:tcW w:type="dxa" w:w="2376"/>
            <w:tcMar>
              <w:top w:w="110" w:type="dxa"/>
              <w:start w:w="140" w:type="dxa"/>
              <w:bottom w:w="110" w:type="dxa"/>
              <w:end w:w="140" w:type="dxa"/>
            </w:tcMar>
            <w:vAlign w:val="center"/>
          </w:tcPr>
          <w:p>
            <w:r>
              <w:rPr>
                <w:b/>
              </w:rPr>
              <w:t>Tab</w:t>
            </w:r>
          </w:p>
        </w:tc>
        <w:tc>
          <w:tcPr>
            <w:tcW w:type="dxa" w:w="6840"/>
            <w:tcMar>
              <w:top w:w="110" w:type="dxa"/>
              <w:start w:w="140" w:type="dxa"/>
              <w:bottom w:w="110" w:type="dxa"/>
              <w:end w:w="140" w:type="dxa"/>
            </w:tcMar>
            <w:vAlign w:val="center"/>
          </w:tcPr>
          <w:p>
            <w:r>
              <w:t>Passer au lien, au bouton ou au champ suivant.</w:t>
            </w:r>
          </w:p>
        </w:tc>
      </w:tr>
      <w:tr>
        <w:tc>
          <w:tcPr>
            <w:tcW w:type="dxa" w:w="2376"/>
            <w:shd w:fill="EEF4FC"/>
            <w:tcMar>
              <w:top w:w="110" w:type="dxa"/>
              <w:start w:w="140" w:type="dxa"/>
              <w:bottom w:w="110" w:type="dxa"/>
              <w:end w:w="140" w:type="dxa"/>
            </w:tcMar>
            <w:vAlign w:val="center"/>
          </w:tcPr>
          <w:p>
            <w:r>
              <w:rPr>
                <w:b/>
              </w:rPr>
              <w:t>Maj + Tab</w:t>
            </w:r>
          </w:p>
        </w:tc>
        <w:tc>
          <w:tcPr>
            <w:tcW w:type="dxa" w:w="6840"/>
            <w:shd w:fill="EEF4FC"/>
            <w:tcMar>
              <w:top w:w="110" w:type="dxa"/>
              <w:start w:w="140" w:type="dxa"/>
              <w:bottom w:w="110" w:type="dxa"/>
              <w:end w:w="140" w:type="dxa"/>
            </w:tcMar>
            <w:vAlign w:val="center"/>
          </w:tcPr>
          <w:p>
            <w:r>
              <w:t>Revenir au lien, au bouton ou au champ précédent.</w:t>
            </w:r>
          </w:p>
        </w:tc>
      </w:tr>
      <w:tr>
        <w:tc>
          <w:tcPr>
            <w:tcW w:type="dxa" w:w="2376"/>
            <w:tcMar>
              <w:top w:w="110" w:type="dxa"/>
              <w:start w:w="140" w:type="dxa"/>
              <w:bottom w:w="110" w:type="dxa"/>
              <w:end w:w="140" w:type="dxa"/>
            </w:tcMar>
            <w:vAlign w:val="center"/>
          </w:tcPr>
          <w:p>
            <w:r>
              <w:rPr>
                <w:b/>
              </w:rPr>
              <w:t>Entrée</w:t>
            </w:r>
          </w:p>
        </w:tc>
        <w:tc>
          <w:tcPr>
            <w:tcW w:type="dxa" w:w="6840"/>
            <w:tcMar>
              <w:top w:w="110" w:type="dxa"/>
              <w:start w:w="140" w:type="dxa"/>
              <w:bottom w:w="110" w:type="dxa"/>
              <w:end w:w="140" w:type="dxa"/>
            </w:tcMar>
            <w:vAlign w:val="center"/>
          </w:tcPr>
          <w:p>
            <w:r>
              <w:t>Ouvrir un lien ou activer le bouton sélectionné.</w:t>
            </w:r>
          </w:p>
        </w:tc>
      </w:tr>
      <w:tr>
        <w:tc>
          <w:tcPr>
            <w:tcW w:type="dxa" w:w="2376"/>
            <w:shd w:fill="EEF4FC"/>
            <w:tcMar>
              <w:top w:w="110" w:type="dxa"/>
              <w:start w:w="140" w:type="dxa"/>
              <w:bottom w:w="110" w:type="dxa"/>
              <w:end w:w="140" w:type="dxa"/>
            </w:tcMar>
            <w:vAlign w:val="center"/>
          </w:tcPr>
          <w:p>
            <w:r>
              <w:rPr>
                <w:b/>
              </w:rPr>
              <w:t>Barre d espace</w:t>
            </w:r>
          </w:p>
        </w:tc>
        <w:tc>
          <w:tcPr>
            <w:tcW w:type="dxa" w:w="6840"/>
            <w:shd w:fill="EEF4FC"/>
            <w:tcMar>
              <w:top w:w="110" w:type="dxa"/>
              <w:start w:w="140" w:type="dxa"/>
              <w:bottom w:w="110" w:type="dxa"/>
              <w:end w:w="140" w:type="dxa"/>
            </w:tcMar>
            <w:vAlign w:val="center"/>
          </w:tcPr>
          <w:p>
            <w:r>
              <w:t>Activer certains boutons, cocher une case ou faire défiler la page.</w:t>
            </w:r>
          </w:p>
        </w:tc>
      </w:tr>
      <w:tr>
        <w:tc>
          <w:tcPr>
            <w:tcW w:type="dxa" w:w="2376"/>
            <w:tcMar>
              <w:top w:w="110" w:type="dxa"/>
              <w:start w:w="140" w:type="dxa"/>
              <w:bottom w:w="110" w:type="dxa"/>
              <w:end w:w="140" w:type="dxa"/>
            </w:tcMar>
            <w:vAlign w:val="center"/>
          </w:tcPr>
          <w:p>
            <w:r>
              <w:rPr>
                <w:b/>
              </w:rPr>
              <w:t>Flèche haut ou bas</w:t>
            </w:r>
          </w:p>
        </w:tc>
        <w:tc>
          <w:tcPr>
            <w:tcW w:type="dxa" w:w="6840"/>
            <w:tcMar>
              <w:top w:w="110" w:type="dxa"/>
              <w:start w:w="140" w:type="dxa"/>
              <w:bottom w:w="110" w:type="dxa"/>
              <w:end w:w="140" w:type="dxa"/>
            </w:tcMar>
            <w:vAlign w:val="center"/>
          </w:tcPr>
          <w:p>
            <w:r>
              <w:t>Parcourir certaines listes ou faire défiler la page.</w:t>
            </w:r>
          </w:p>
        </w:tc>
      </w:tr>
      <w:tr>
        <w:tc>
          <w:tcPr>
            <w:tcW w:type="dxa" w:w="2376"/>
            <w:shd w:fill="EEF4FC"/>
            <w:tcMar>
              <w:top w:w="110" w:type="dxa"/>
              <w:start w:w="140" w:type="dxa"/>
              <w:bottom w:w="110" w:type="dxa"/>
              <w:end w:w="140" w:type="dxa"/>
            </w:tcMar>
            <w:vAlign w:val="center"/>
          </w:tcPr>
          <w:p>
            <w:r>
              <w:rPr>
                <w:b/>
              </w:rPr>
              <w:t>Flèche gauche ou droite</w:t>
            </w:r>
          </w:p>
        </w:tc>
        <w:tc>
          <w:tcPr>
            <w:tcW w:type="dxa" w:w="6840"/>
            <w:shd w:fill="EEF4FC"/>
            <w:tcMar>
              <w:top w:w="110" w:type="dxa"/>
              <w:start w:w="140" w:type="dxa"/>
              <w:bottom w:w="110" w:type="dxa"/>
              <w:end w:w="140" w:type="dxa"/>
            </w:tcMar>
            <w:vAlign w:val="center"/>
          </w:tcPr>
          <w:p>
            <w:r>
              <w:t>Changer de visuel dans le carrousel lorsque celui-ci est sélectionné.</w:t>
            </w:r>
          </w:p>
        </w:tc>
      </w:tr>
      <w:tr>
        <w:tc>
          <w:tcPr>
            <w:tcW w:type="dxa" w:w="2376"/>
            <w:tcMar>
              <w:top w:w="110" w:type="dxa"/>
              <w:start w:w="140" w:type="dxa"/>
              <w:bottom w:w="110" w:type="dxa"/>
              <w:end w:w="140" w:type="dxa"/>
            </w:tcMar>
            <w:vAlign w:val="center"/>
          </w:tcPr>
          <w:p>
            <w:r>
              <w:rPr>
                <w:b/>
              </w:rPr>
              <w:t>Échap</w:t>
            </w:r>
          </w:p>
        </w:tc>
        <w:tc>
          <w:tcPr>
            <w:tcW w:type="dxa" w:w="6840"/>
            <w:tcMar>
              <w:top w:w="110" w:type="dxa"/>
              <w:start w:w="140" w:type="dxa"/>
              <w:bottom w:w="110" w:type="dxa"/>
              <w:end w:w="140" w:type="dxa"/>
            </w:tcMar>
            <w:vAlign w:val="center"/>
          </w:tcPr>
          <w:p>
            <w:r>
              <w:t>Fermer le panneau Accessibilité.</w:t>
            </w:r>
          </w:p>
        </w:tc>
      </w:tr>
    </w:tbl>
    <w:p>
      <w:r>
        <w:br w:type="page"/>
      </w:r>
    </w:p>
    <w:p>
      <w:pPr>
        <w:pStyle w:val="Heading1"/>
      </w:pPr>
      <w:r>
        <w:t>Reconnaître la sélection</w:t>
      </w:r>
    </w:p>
    <w:p>
      <w:r>
        <w:t>Lorsque vous appuyez sur Tab, un contour jaune apparaît autour de l'élément actif. Ce contour indique précisément quel lien, bouton ou champ sera utilisé lorsque vous appuierez sur Entrée ou sur la barre d'espace.</w:t>
      </w:r>
    </w:p>
    <w:p>
      <w:pPr>
        <w:pStyle w:val="Heading1"/>
      </w:pPr>
      <w:r>
        <w:t>Parcourir le site étape par étape</w:t>
      </w:r>
    </w:p>
    <w:p>
      <w:pPr>
        <w:pStyle w:val="Heading2"/>
      </w:pPr>
      <w:r>
        <w:t>Accéder directement au contenu</w:t>
      </w:r>
    </w:p>
    <w:p>
      <w:r>
        <w:t>Au chargement d'une page, appuyez une fois sur Tab. Le lien Aller au contenu apparaît. Appuyez sur Entrée pour éviter le menu et rejoindre le contenu principal.</w:t>
      </w:r>
    </w:p>
    <w:p>
      <w:pPr>
        <w:pStyle w:val="Heading2"/>
      </w:pPr>
      <w:r>
        <w:t>Parcourir les liens</w:t>
      </w:r>
    </w:p>
    <w:p>
      <w:r>
        <w:t>Appuyez plusieurs fois sur Tab. Utilisez Maj + Tab si vous avez dépassé le lien recherché, puis appuyez sur Entrée pour ouvrir la page.</w:t>
      </w:r>
    </w:p>
    <w:p>
      <w:pPr>
        <w:pStyle w:val="Heading2"/>
      </w:pPr>
      <w:r>
        <w:t>Utiliser le carrousel</w:t>
      </w:r>
    </w:p>
    <w:p>
      <w:r>
        <w:t>Placez la sélection sur un visuel du carrousel. Utilisez les flèches gauche et droite pour changer de visuel. Appuyez sur Entrée pour ouvrir la formation affichée.</w:t>
      </w:r>
    </w:p>
    <w:p>
      <w:pPr>
        <w:pStyle w:val="Heading2"/>
      </w:pPr>
      <w:r>
        <w:t>Ouvrir le panneau Accessibilité</w:t>
      </w:r>
    </w:p>
    <w:p>
      <w:r>
        <w:t>Placez la sélection sur le bouton Accessibilité et appuyez sur Entrée. Parcourez les options avec Tab. Chaque option s'active avec Entrée ou la barre d'espace. Appuyez sur Échap pour fermer le panneau.</w:t>
      </w:r>
    </w:p>
    <w:p>
      <w:pPr>
        <w:pStyle w:val="Heading2"/>
      </w:pPr>
      <w:r>
        <w:t>Lire la version texte d'une vidéo</w:t>
      </w:r>
    </w:p>
    <w:p>
      <w:r>
        <w:t>Sous la vidéo, sélectionnez Lire la version texte de la vidéo, puis appuyez sur Entrée. Le texte présente le sujet et les informations essentielles sans nécessiter l'écoute du son.</w:t>
      </w:r>
    </w:p>
    <w:p>
      <w:pPr>
        <w:pStyle w:val="Heading2"/>
      </w:pPr>
      <w:r>
        <w:t>Revenir en haut</w:t>
      </w:r>
    </w:p>
    <w:p>
      <w:r>
        <w:t>Après avoir fait défiler une longue page, sélectionnez le bouton Haut de page et appuyez sur Entrée.</w:t>
      </w:r>
    </w:p>
    <w:p>
      <w:r>
        <w:br w:type="page"/>
      </w:r>
    </w:p>
    <w:p>
      <w:pPr>
        <w:pStyle w:val="Heading1"/>
      </w:pPr>
      <w:r>
        <w:t>Remplir le formulaire de contact</w:t>
      </w:r>
    </w:p>
    <w:p>
      <w:r>
        <w:t>Utilisez Tab pour passer d'un champ au suivant. Saisissez les informations demandées, puis utilisez les flèches dans les listes de choix. Sur la case de consentement, appuyez sur la barre d'espace pour la cocher ou la décocher. Lorsque le bouton Envoyer ma demande est sélectionné, appuyez sur Entrée.</w:t>
      </w:r>
    </w:p>
    <w:p>
      <w:pPr>
        <w:pStyle w:val="Heading1"/>
      </w:pPr>
      <w:r>
        <w:t>Si la navigation devient difficile</w:t>
      </w:r>
    </w:p>
    <w:p>
      <w:pPr>
        <w:pStyle w:val="ListBullet"/>
      </w:pPr>
      <w:r>
        <w:t>Utilisez Maj + Tab pour revenir à l'élément précédent.</w:t>
      </w:r>
    </w:p>
    <w:p>
      <w:pPr>
        <w:pStyle w:val="ListBullet"/>
      </w:pPr>
      <w:r>
        <w:t>Appuyez sur Échap pour fermer le panneau Accessibilité.</w:t>
      </w:r>
    </w:p>
    <w:p>
      <w:pPr>
        <w:pStyle w:val="ListBullet"/>
      </w:pPr>
      <w:r>
        <w:t>Actualisez la page avec Ctrl + R si la sélection semble bloquée.</w:t>
      </w:r>
    </w:p>
    <w:p>
      <w:pPr>
        <w:pStyle w:val="ListBullet"/>
      </w:pPr>
      <w:r>
        <w:t>Utilisez Ctrl + plus ou Ctrl + moins pour modifier le zoom du navigateur. Ctrl + 0 rétablit le zoom normal.</w:t>
      </w:r>
    </w:p>
    <w:p>
      <w:pPr>
        <w:pStyle w:val="ListBullet"/>
      </w:pPr>
      <w:r>
        <w:t>Dans le panneau Accessibilité, activez Lecture simplifiée pour retirer les animations et améliorer l espacement.</w:t>
      </w:r>
    </w:p>
    <w:p>
      <w:pPr>
        <w:pStyle w:val="Heading1"/>
      </w:pPr>
      <w:r>
        <w:t>Liens utiles</w:t>
      </w:r>
    </w:p>
    <w:p>
      <w:hyperlink r:id="rId9">
        <w:r>
          <w:rPr>
            <w:color w:val="075BD8"/>
            <w:u w:val="single"/>
          </w:rPr>
          <w:t>Ouvrir le site de formation</w:t>
        </w:r>
      </w:hyperlink>
    </w:p>
    <w:p>
      <w:hyperlink r:id="rId10">
        <w:r>
          <w:rPr>
            <w:color w:val="075BD8"/>
            <w:u w:val="single"/>
          </w:rPr>
          <w:t>Consulter la page Accessibilité</w:t>
        </w:r>
      </w:hyperlink>
    </w:p>
    <w:p>
      <w:pPr>
        <w:pStyle w:val="Heading1"/>
      </w:pPr>
      <w:r>
        <w:t>Signaler une difficulté</w:t>
      </w:r>
    </w:p>
    <w:p>
      <w:r>
        <w:t xml:space="preserve">Si une commande ne fonctionne pas ou si un contenu reste difficile d'accès, écrivez à </w:t>
      </w:r>
      <w:hyperlink r:id="rId11">
        <w:r>
          <w:rPr>
            <w:color w:val="075BD8"/>
            <w:u w:val="single"/>
          </w:rPr>
          <w:t>eric.schaefer3@gmail.com</w:t>
        </w:r>
      </w:hyperlink>
      <w:r>
        <w:t>. Indiquez si possible la page concernée et la difficulté rencontrée.</w:t>
      </w:r>
    </w:p>
    <w:sectPr w:rsidR="00FC693F" w:rsidRPr="0006063C" w:rsidSect="00034616">
      <w:footerReference w:type="default" r:id="rId12"/>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0708A"/>
        <w:sz w:val="18"/>
      </w:rPr>
      <w:t>Eric Schaefer  |  Guide de navigation au clavier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ormation-bureautique-eric.eric83000.chatgpt.site/" TargetMode="External"/><Relationship Id="rId10" Type="http://schemas.openxmlformats.org/officeDocument/2006/relationships/hyperlink" Target="https://formation-bureautique-eric.eric83000.chatgpt.site/accessibilite.html" TargetMode="External"/><Relationship Id="rId11" Type="http://schemas.openxmlformats.org/officeDocument/2006/relationships/hyperlink" Target="mailto:eric.schaefer3@gmail.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navigation au clavier</dc:title>
  <dc:subject>Utiliser le site de formation d'Eric Schaefer sans souris</dc:subject>
  <dc:creator>Eric Schaefer</dc:creator>
  <cp:keywords/>
  <dc:description>generated by python-docx</dc:description>
  <cp:lastModifiedBy/>
  <cp:revision>1</cp:revision>
  <dcterms:created xsi:type="dcterms:W3CDTF">2013-12-23T23:15:00Z</dcterms:created>
  <dcterms:modified xsi:type="dcterms:W3CDTF">2013-12-23T23:15:00Z</dcterms:modified>
  <cp:category/>
</cp:coreProperties>
</file>